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10,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Aardvark Therapeutics,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820" w:type="dxa"/>
        <w:tblCellMar>
          <w:top w:w="0" w:type="dxa"/>
          <w:left w:w="0" w:type="dxa"/>
          <w:bottom w:w="0" w:type="dxa"/>
          <w:right w:w="0" w:type="dxa"/>
        </w:tblCellMar>
      </w:tblPr>
      <w:tr>
        <w:trPr>
          <w:trHeight w:val="222"/>
        </w:trPr>
        <w:tc>
          <w:tcPr>
            <w:tcW w:w="3500" w:type="dxa"/>
            <w:vAlign w:val="bottom"/>
          </w:tcPr>
          <w:p>
            <w:pPr>
              <w:jc w:val="center"/>
              <w:ind w:right="42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10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001-42513</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82-1606367</w:t>
            </w:r>
          </w:p>
        </w:tc>
      </w:tr>
      <w:tr>
        <w:trPr>
          <w:trHeight w:val="149"/>
        </w:trPr>
        <w:tc>
          <w:tcPr>
            <w:tcW w:w="3500" w:type="dxa"/>
            <w:vAlign w:val="bottom"/>
          </w:tcPr>
          <w:p>
            <w:pPr>
              <w:jc w:val="center"/>
              <w:ind w:right="42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100" w:type="dxa"/>
            <w:vAlign w:val="bottom"/>
          </w:tcPr>
          <w:p>
            <w:pPr>
              <w:jc w:val="center"/>
              <w:ind w:right="40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500" w:type="dxa"/>
            <w:vAlign w:val="bottom"/>
          </w:tcPr>
          <w:p>
            <w:pPr>
              <w:jc w:val="center"/>
              <w:ind w:right="42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10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500" w:type="dxa"/>
            <w:vAlign w:val="bottom"/>
          </w:tcPr>
          <w:p>
            <w:pPr>
              <w:jc w:val="center"/>
              <w:ind w:right="441"/>
              <w:spacing w:after="0"/>
              <w:rPr>
                <w:sz w:val="20"/>
                <w:szCs w:val="20"/>
                <w:color w:val="auto"/>
              </w:rPr>
            </w:pPr>
            <w:r>
              <w:rPr>
                <w:rFonts w:ascii="Times New Roman" w:cs="Times New Roman" w:eastAsia="Times New Roman" w:hAnsi="Times New Roman"/>
                <w:sz w:val="18"/>
                <w:szCs w:val="18"/>
                <w:b w:val="1"/>
                <w:bCs w:val="1"/>
                <w:color w:val="auto"/>
              </w:rPr>
              <w:t>4370 La Jolla Village Drive, Suite 1050</w:t>
            </w:r>
          </w:p>
        </w:tc>
        <w:tc>
          <w:tcPr>
            <w:tcW w:w="310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3500" w:type="dxa"/>
            <w:vAlign w:val="bottom"/>
          </w:tcPr>
          <w:p>
            <w:pPr>
              <w:jc w:val="center"/>
              <w:ind w:right="441"/>
              <w:spacing w:after="0"/>
              <w:rPr>
                <w:sz w:val="20"/>
                <w:szCs w:val="20"/>
                <w:color w:val="auto"/>
              </w:rPr>
            </w:pPr>
            <w:r>
              <w:rPr>
                <w:rFonts w:ascii="Times New Roman" w:cs="Times New Roman" w:eastAsia="Times New Roman" w:hAnsi="Times New Roman"/>
                <w:sz w:val="18"/>
                <w:szCs w:val="18"/>
                <w:b w:val="1"/>
                <w:bCs w:val="1"/>
                <w:color w:val="auto"/>
              </w:rPr>
              <w:t>San Diego, California</w:t>
            </w:r>
          </w:p>
        </w:tc>
        <w:tc>
          <w:tcPr>
            <w:tcW w:w="310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92122</w:t>
            </w:r>
          </w:p>
        </w:tc>
      </w:tr>
      <w:tr>
        <w:trPr>
          <w:trHeight w:val="178"/>
        </w:trPr>
        <w:tc>
          <w:tcPr>
            <w:tcW w:w="3500" w:type="dxa"/>
            <w:vAlign w:val="bottom"/>
          </w:tcPr>
          <w:p>
            <w:pPr>
              <w:jc w:val="center"/>
              <w:ind w:right="42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10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(858) 225-7696</w:t>
      </w:r>
    </w:p>
    <w:p>
      <w:pPr>
        <w:spacing w:after="0" w:line="3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248285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AARD</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ind w:right="26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June 10, 2026, Aardvark Therapeutics, Inc. (the “Company”) entered into a retention bonus letter agreement with Nelson Sun, the Company’s Chief Financial Officer and Chief Operating Officer (the “Sun Retention Agreement”). Pursuant to the terms of the Sun Retention Agreement, Mr. Sun will, subject to the satisfaction of the conditions set forth therein, be entitled to receive a cash retention bonus in the aggregate amount of $346,500 (the “Sun Retention Bonus”), comprised of (i) a guaranteed annual bonus for 2026 of $198,000 and (ii) a retention bonus of $148,500. The Sun Retention Bonus shall be paid in full on January 1, 2027, subject to Mr. Sun’s continued employment with the Company through such date. If, prior to January 1, 2027, the Company terminates Mr. Sun’s employment without Cause or Mr. Sun resigns for Good Reason (each, as defined in the Sun Retention Agreement), the Company will pay Mr. Sun the full amount of the Sun Retention Bonus, subject to Mr. Sun’s execution and delivery of an irrevocable full and complete release of all claims in a form prescribed by the Company.</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June 10, 2026, the Company also entered into a retention bonus letter agreement with Manasi Jaiman, M.D., M.P.H., the Company’s Chief Medical Officer (the “Jaiman Retention Agreement”). Pursuant to the terms of the Jaiman Retention Agreement, Dr. Jaiman will, subject to the satisfaction of the conditions set forth therein, be entitled to receive a cash retention bonus in the aggregate amount of $357,000 (the “Jaiman Retention Bonus”), comprised of (i) a guaranteed annual bonus for 2026 of $204,000 and (ii) a retention bonus of $153,000. The Jaiman Retention Bonus shall be paid in full on January 1, 2027, subject to Dr. Jaiman’s continued employment with the Company through such date. If, prior to January 1, 2027, the Company Dr. Jaiman’s employment without Cause or Dr. Jaiman resigns for Good Reason (each, as defined in the Jaiman Retention Agreement), the Company will pay Dr. Jaiman the full amount of the Jaiman Retention Bonus, subject to Dr. Jaiman’s execution and delivery of an irrevocable full and complete release of all claims in a form prescribed by the Company.</w:t>
      </w:r>
    </w:p>
    <w:p>
      <w:pPr>
        <w:spacing w:after="0" w:line="192"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foregoing descriptions of the Sun Retention Agreement and the Jaiman Retention Agreement do not purport to be complete and are qualified in their entirety by reference to the text of the Sun Retention Agreement and the Jaiman Retention Agreement, each of which will be filed with the Company’s Quarterly Report on Form 10-Q for the quarter ending June 30, 2026.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1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ind w:left="420"/>
        <w:spacing w:after="0"/>
        <w:tabs>
          <w:tab w:leader="none" w:pos="1120"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380"/>
        <w:spacing w:after="0"/>
        <w:tabs>
          <w:tab w:leader="none" w:pos="112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1157605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98"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b w:val="1"/>
          <w:bCs w:val="1"/>
          <w:color w:val="auto"/>
        </w:rPr>
        <w:t>AARDVARK THERAPEUTICS, INC.</w:t>
      </w:r>
    </w:p>
    <w:p>
      <w:pPr>
        <w:spacing w:after="0" w:line="378" w:lineRule="exact"/>
        <w:rPr>
          <w:sz w:val="20"/>
          <w:szCs w:val="20"/>
          <w:color w:val="auto"/>
        </w:rPr>
      </w:pPr>
    </w:p>
    <w:p>
      <w:pPr>
        <w:spacing w:after="0"/>
        <w:tabs>
          <w:tab w:leader="none" w:pos="660" w:val="left"/>
          <w:tab w:leader="none" w:pos="5620" w:val="left"/>
          <w:tab w:leader="none" w:pos="78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June 12,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Tien-Li Lee,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8"/>
          <w:szCs w:val="18"/>
          <w:color w:val="auto"/>
        </w:rPr>
        <w:t>Tien-Li Lee, M.D.</w:t>
      </w:r>
    </w:p>
    <w:p>
      <w:pPr>
        <w:spacing w:after="0" w:line="27"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2026-06-12T15:12:36Z</dcterms:created>
  <dcterms:modified xsi:type="dcterms:W3CDTF">2026-06-12T15:12:36Z</dcterms:modified>
</cp:coreProperties>
</file>